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ПП РФ 808 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19(2). Стандарты качества обслуживания единой теплоснабжающей организацией потребителей тепловой энергии обеспечивают: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единообразие требований к качеству предоставления услуг и соблюдение установленных сроков по всем процедурам взаимодействия;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минимизацию времени потребителя, затраченного на получение услуги;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оперативность реагирования на жалобы и устранения выявленных недостатков в работе с потребителями;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полноту, актуальность и достоверность информации;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многоканальность предоставления информации.</w:t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19(2) введен </w:t>
      </w:r>
      <w:hyperlink r:id="rId8" w:tooltip="https://login.consultant.ru/link/?req=doc&amp;base=RZR&amp;n=402220&amp;dst=100087" w:history="1">
        <w:r>
          <w:rPr>
            <w:rFonts w:ascii="Arial" w:hAnsi="Arial" w:cs="Arial"/>
            <w:color w:val="0000ff"/>
            <w:sz w:val="20"/>
            <w:szCs w:val="20"/>
          </w:rPr>
          <w:t xml:space="preserve"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22.05.2019 N 637)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19(3). Стандарты качества обслуживания единой теплоснабжающей организацией потребителей тепловой энергии содержат: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порядок заключения договора теплоснабжения в соответствии с </w:t>
      </w:r>
      <w:hyperlink r:id="rId9" w:tooltip="https://login.consultant.ru/link/?req=doc&amp;base=RZR&amp;n=488463&amp;dst=100069" w:history="1">
        <w:r>
          <w:rPr>
            <w:rFonts w:ascii="Arial" w:hAnsi="Arial" w:cs="Arial"/>
            <w:color w:val="0000ff"/>
            <w:sz w:val="20"/>
            <w:szCs w:val="20"/>
          </w:rPr>
          <w:t xml:space="preserve">разделом III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 том числе опубликования перечня документов, необходимых для заключения договора теплоснабжения, а также получения информации о состоянии процесса заключения договора с потребителем;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примерную форму договора теплоснабжения с учетом положений </w:t>
      </w:r>
      <w:hyperlink r:id="rId10" w:tooltip="https://login.consultant.ru/link/?req=doc&amp;base=RZR&amp;n=479724&amp;dst=100681" w:history="1">
        <w:r>
          <w:rPr>
            <w:rFonts w:ascii="Arial" w:hAnsi="Arial" w:cs="Arial"/>
            <w:color w:val="0000ff"/>
            <w:sz w:val="20"/>
            <w:szCs w:val="20"/>
          </w:rPr>
          <w:t xml:space="preserve">статьи 23.8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теплоснабжении" и </w:t>
      </w:r>
      <w:hyperlink r:id="rId11" w:tooltip="https://login.consultant.ru/link/?req=doc&amp;base=RZR&amp;n=488463&amp;dst=100071" w:history="1">
        <w:r>
          <w:rPr>
            <w:rFonts w:ascii="Arial" w:hAnsi="Arial" w:cs="Arial"/>
            <w:color w:val="0000ff"/>
            <w:sz w:val="20"/>
            <w:szCs w:val="20"/>
          </w:rPr>
          <w:t xml:space="preserve">пунктов 20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2" w:tooltip="https://login.consultant.ru/link/?req=doc&amp;base=RZR&amp;n=488463&amp;dst=100112" w:history="1">
        <w:r>
          <w:rPr>
            <w:rFonts w:ascii="Arial" w:hAnsi="Arial" w:cs="Arial"/>
            <w:color w:val="0000ff"/>
            <w:sz w:val="20"/>
            <w:szCs w:val="20"/>
          </w:rPr>
          <w:t xml:space="preserve">32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порядок выставления счетов на оплату тепловой энергии (мощности), теплоносителя способами, допускающими возможность их удаленной передачи, в том числе обеспе</w:t>
      </w:r>
      <w:r>
        <w:rPr>
          <w:rFonts w:ascii="Arial" w:hAnsi="Arial" w:cs="Arial"/>
          <w:sz w:val="20"/>
          <w:szCs w:val="20"/>
        </w:rPr>
        <w:t xml:space="preserve">чивающими потребителю возможность внесения платы по договору теплоснабжения различными способами. Формирование и выставление счетов на оплату тепловой энергии (мощности) осуществляются с учетом порядка расчетов по договору теплоснабжения, предусмотренного </w:t>
      </w:r>
      <w:hyperlink r:id="rId13" w:tooltip="https://login.consultant.ru/link/?req=doc&amp;base=RZR&amp;n=488463&amp;dst=100115" w:history="1">
        <w:r>
          <w:rPr>
            <w:rFonts w:ascii="Arial" w:hAnsi="Arial" w:cs="Arial"/>
            <w:color w:val="0000ff"/>
            <w:sz w:val="20"/>
            <w:szCs w:val="20"/>
          </w:rPr>
          <w:t xml:space="preserve">пунктами 33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4" w:tooltip="https://login.consultant.ru/link/?req=doc&amp;base=RZR&amp;n=488463&amp;dst=100425" w:history="1">
        <w:r>
          <w:rPr>
            <w:rFonts w:ascii="Arial" w:hAnsi="Arial" w:cs="Arial"/>
            <w:color w:val="0000ff"/>
            <w:sz w:val="20"/>
            <w:szCs w:val="20"/>
          </w:rPr>
          <w:t xml:space="preserve">34(1)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порядок опубликования на официальном сайте единой теплоснабжающей организации в информационно-телекоммуникационной сети "Интернет" размера предельного уровня цены на тепловую энергию (мощность) в соответствии со </w:t>
      </w:r>
      <w:hyperlink r:id="rId15" w:tooltip="https://login.consultant.ru/link/?req=doc&amp;base=RZR&amp;n=488455&amp;dst=100012" w:history="1">
        <w:r>
          <w:rPr>
            <w:rFonts w:ascii="Arial" w:hAnsi="Arial" w:cs="Arial"/>
            <w:color w:val="0000ff"/>
            <w:sz w:val="20"/>
            <w:szCs w:val="20"/>
          </w:rPr>
          <w:t xml:space="preserve">стандартами</w:t>
        </w:r>
      </w:hyperlink>
      <w:r>
        <w:rPr>
          <w:rFonts w:ascii="Arial" w:hAnsi="Arial" w:cs="Arial"/>
          <w:sz w:val="20"/>
          <w:szCs w:val="20"/>
        </w:rPr>
        <w:t xml:space="preserve"> раскрытия информации теплоснабжающими организациями, теплосетевыми организациями и органами регулирования тарифов в сфере теп</w:t>
      </w:r>
      <w:r>
        <w:rPr>
          <w:rFonts w:ascii="Arial" w:hAnsi="Arial" w:cs="Arial"/>
          <w:sz w:val="20"/>
          <w:szCs w:val="20"/>
        </w:rPr>
        <w:t xml:space="preserve">лоснабжения, утвержденными постановлением Правительства Российской Федерации от 26 января 2023 г. N 110 "О стандартах раскрытия информации теплоснабжающими организациями, теплосетевыми организациями и органами регулирования тарифов в сфере теплоснабжения";</w:t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</w:t>
      </w:r>
      <w:r>
        <w:rPr>
          <w:rFonts w:ascii="Arial" w:hAnsi="Arial" w:cs="Arial"/>
          <w:sz w:val="20"/>
          <w:szCs w:val="20"/>
        </w:rPr>
        <w:t xml:space="preserve">пп</w:t>
      </w:r>
      <w:r>
        <w:rPr>
          <w:rFonts w:ascii="Arial" w:hAnsi="Arial" w:cs="Arial"/>
          <w:sz w:val="20"/>
          <w:szCs w:val="20"/>
        </w:rPr>
        <w:t xml:space="preserve">. "г" в ред. </w:t>
      </w:r>
      <w:hyperlink r:id="rId16" w:tooltip="https://login.consultant.ru/link/?req=doc&amp;base=RZR&amp;n=488377&amp;dst=100150" w:history="1">
        <w:r>
          <w:rPr>
            <w:rFonts w:ascii="Arial" w:hAnsi="Arial" w:cs="Arial"/>
            <w:color w:val="0000ff"/>
            <w:sz w:val="20"/>
            <w:szCs w:val="20"/>
          </w:rPr>
          <w:t xml:space="preserve"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17.10.2024 N 1388)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категории потребителей, для которых предусматривается дифференциация цен на тепловую энергию (мощность) в рамках предельного уровня цены на тепловую энергию (мощность). Категории потребителей, для которых предусматривается дифференциация цен н</w:t>
      </w:r>
      <w:r>
        <w:rPr>
          <w:rFonts w:ascii="Arial" w:hAnsi="Arial" w:cs="Arial"/>
          <w:sz w:val="20"/>
          <w:szCs w:val="20"/>
        </w:rPr>
        <w:t xml:space="preserve">а тепловую энергию (мощность) в рамках предельного уровня цены на тепловую энергию (мощность), определяются исходя из экономически обоснованных различий в стоимости поставляемой потребителям тепловой энергии (мощности), в том числе по следующим параметрам: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вид теплоносителя (вода, пар);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параметры теплоносителя (температура и давление в подающем трубопроводе);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режим потребления тепловой энергии и (или) теплоносителя, в том числе количество, качество и значения термодинамических параметров возвращаемого теплоносителя, конденсата;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потребляемой тепловой энергии (мощности);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условия оплаты (предварительная оплата, оплата по факту потребления);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система теплоснабжения;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границы поселения, муниципального округа, городского округа, в случае если зона деятельности единой теплоснабжающей организации определяется на несколько поселений, муниципальных округов, городских округов;</w:t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tooltip="https://login.consultant.ru/link/?req=doc&amp;base=RZR&amp;n=488377&amp;dst=100152" w:history="1">
        <w:r>
          <w:rPr>
            <w:rFonts w:ascii="Arial" w:hAnsi="Arial" w:cs="Arial"/>
            <w:color w:val="0000ff"/>
            <w:sz w:val="20"/>
            <w:szCs w:val="20"/>
          </w:rPr>
          <w:t xml:space="preserve"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17.10.2024 N 1388)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схемы подключения </w:t>
      </w:r>
      <w:r>
        <w:rPr>
          <w:rFonts w:ascii="Arial" w:hAnsi="Arial" w:cs="Arial"/>
          <w:sz w:val="20"/>
          <w:szCs w:val="20"/>
        </w:rPr>
        <w:t xml:space="preserve">теплопотребляющих</w:t>
      </w:r>
      <w:r>
        <w:rPr>
          <w:rFonts w:ascii="Arial" w:hAnsi="Arial" w:cs="Arial"/>
          <w:sz w:val="20"/>
          <w:szCs w:val="20"/>
        </w:rPr>
        <w:t xml:space="preserve"> установок потребителей тепловой энергии к системе теплоснабжения (подключения к коллектору источника тепловой энергии, к тепловой сети до тепловых пунктов, эксплуатируемых теплоснаб</w:t>
      </w:r>
      <w:r>
        <w:rPr>
          <w:rFonts w:ascii="Arial" w:hAnsi="Arial" w:cs="Arial"/>
          <w:sz w:val="20"/>
          <w:szCs w:val="20"/>
        </w:rPr>
        <w:t xml:space="preserve">жающей или теплосетевой организацией, к тепловой сети после тепловых пунктов (на тепловых пунктах), эксплуатируемых теплоснабжающей или теплосетевой организацией, подключения к магистральным тепловым сетям и подключения к распределительным тепловым сетям);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порядок орг</w:t>
      </w:r>
      <w:r>
        <w:rPr>
          <w:rFonts w:ascii="Arial" w:hAnsi="Arial" w:cs="Arial"/>
          <w:sz w:val="20"/>
          <w:szCs w:val="20"/>
        </w:rPr>
        <w:t xml:space="preserve">анизации обслуживания потребителей при их личном присутствии (очное обслуживание потребителей), посредством телефонной связи и с использованием информационно-телекоммуникационной сети "Интернет" (заочное обслуживание потребителей), который предусматривает: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типовой алгоритм обслуживания потребителя;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принципы и порядок урегулирования споров (конфликтов);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организацию обратной связи с потребителем (для благодарностей, жалоб, предложений и отзывов о работе);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контроль и мониторинг качества обслуживания потребителей;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офисов очного обслуживания с указанием адреса, номера телефона и часов работы;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заочного об</w:t>
      </w:r>
      <w:r>
        <w:rPr>
          <w:rFonts w:ascii="Arial" w:hAnsi="Arial" w:cs="Arial"/>
          <w:sz w:val="20"/>
          <w:szCs w:val="20"/>
        </w:rPr>
        <w:t xml:space="preserve">служивания потребителей, в том числе с использованием "горячей линии", автоответчика, информационно-телекоммуникационной сети "Интернет", с указанием номера телефона, адреса электронной почты и предельного (максимального) времени обслуживания потребителей;</w:t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tooltip="https://login.consultant.ru/link/?req=doc&amp;base=RZR&amp;n=446259&amp;dst=100050" w:history="1">
        <w:r>
          <w:rPr>
            <w:rFonts w:ascii="Arial" w:hAnsi="Arial" w:cs="Arial"/>
            <w:color w:val="0000ff"/>
            <w:sz w:val="20"/>
            <w:szCs w:val="20"/>
          </w:rPr>
          <w:t xml:space="preserve"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28.04.2023 N 671)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требования к персоналу, обслуживающему потребителей (внешний вид, содержание рабочего места и форма общения с потребителями);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порядок приема и рассмотрения единой теплоснабжающей организа</w:t>
      </w:r>
      <w:r>
        <w:rPr>
          <w:rFonts w:ascii="Arial" w:hAnsi="Arial" w:cs="Arial"/>
          <w:sz w:val="20"/>
          <w:szCs w:val="20"/>
        </w:rPr>
        <w:t xml:space="preserve">цией обращений (претензий, жалоб) потребителей на ее действия, в том числе порядок приема и рассмотрения обращений по вопросам обеспечения соблюдения значений параметров качества теплоснабжения и параметров, отражающих допустимые перерывы в теплоснабжении;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порядок снятия и приема показаний приборов учета тепловой энергии, теплоносителя, включая обеспечение приема показаний приборов учета от потребителей способами, допускающими возможность удаленной передачи сведений о показаниях приб</w:t>
      </w:r>
      <w:r>
        <w:rPr>
          <w:rFonts w:ascii="Arial" w:hAnsi="Arial" w:cs="Arial"/>
          <w:sz w:val="20"/>
          <w:szCs w:val="20"/>
        </w:rPr>
        <w:t xml:space="preserve">оров учета (посредством телефонной связи, с использованием информационно-телекоммуникационной сети "Интернет" и др.), и использования их в расчетах по договору теплоснабжения, а также проведения проверки состояния указанных приборов учета в соответствии с </w:t>
      </w:r>
      <w:hyperlink r:id="rId19" w:tooltip="https://login.consultant.ru/link/?req=doc&amp;base=RZR&amp;n=401404&amp;dst=100010" w:history="1">
        <w:r>
          <w:rPr>
            <w:rFonts w:ascii="Arial" w:hAnsi="Arial" w:cs="Arial"/>
            <w:color w:val="0000ff"/>
            <w:sz w:val="20"/>
            <w:szCs w:val="20"/>
          </w:rPr>
          <w:t xml:space="preserve">Правилами</w:t>
        </w:r>
      </w:hyperlink>
      <w:r>
        <w:rPr>
          <w:rFonts w:ascii="Arial" w:hAnsi="Arial" w:cs="Arial"/>
          <w:sz w:val="20"/>
          <w:szCs w:val="20"/>
        </w:rPr>
        <w:t xml:space="preserve"> коммерческого учета тепловой энергии, теплоносителя, утвержденными постановлением Правительства Российской Федерации от 18 ноября 2013 г. N 1034 "О коммерческом учете тепловой энергии, теплоносителя";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порядок </w:t>
      </w:r>
      <w:r>
        <w:rPr>
          <w:rFonts w:ascii="Arial" w:hAnsi="Arial" w:cs="Arial"/>
          <w:sz w:val="20"/>
          <w:szCs w:val="20"/>
        </w:rPr>
        <w:t xml:space="preserve">определения планируемых объемов потребления тепловой энергии (мощности) и (или) теплоносителя раздельно по видам потребления, включающий порядок обмена информацией о планируемых объемах потребления между единой теплоснабжающей организацией и потребителями;</w:t>
      </w:r>
      <w:r>
        <w:rPr>
          <w:rFonts w:ascii="Arial" w:hAnsi="Arial" w:cs="Arial"/>
          <w:sz w:val="20"/>
          <w:szCs w:val="20"/>
        </w:rPr>
      </w:r>
    </w:p>
    <w:p>
      <w:pPr>
        <w:ind w:firstLine="540"/>
        <w:jc w:val="both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порядок подключения (технологического присоединения) к системе теплоснабжения и определения платы за подключение в соответствии со </w:t>
      </w:r>
      <w:hyperlink r:id="rId20" w:tooltip="https://login.consultant.ru/link/?req=doc&amp;base=RZR&amp;n=479724&amp;dst=100714" w:history="1">
        <w:r>
          <w:rPr>
            <w:rFonts w:ascii="Arial" w:hAnsi="Arial" w:cs="Arial"/>
            <w:color w:val="0000ff"/>
            <w:sz w:val="20"/>
            <w:szCs w:val="20"/>
          </w:rPr>
          <w:t xml:space="preserve">статьей 23.10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теплоснабжении" и </w:t>
      </w:r>
      <w:hyperlink r:id="rId21" w:tooltip="https://login.consultant.ru/link/?req=doc&amp;base=RZR&amp;n=488462&amp;dst=100017" w:history="1">
        <w:r>
          <w:rPr>
            <w:rFonts w:ascii="Arial" w:hAnsi="Arial" w:cs="Arial"/>
            <w:color w:val="0000ff"/>
            <w:sz w:val="20"/>
            <w:szCs w:val="20"/>
          </w:rPr>
          <w:t xml:space="preserve">Правилами</w:t>
        </w:r>
      </w:hyperlink>
      <w:r>
        <w:rPr>
          <w:rFonts w:ascii="Arial" w:hAnsi="Arial" w:cs="Arial"/>
          <w:sz w:val="20"/>
          <w:szCs w:val="20"/>
        </w:rPr>
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</w:t>
      </w:r>
      <w:r>
        <w:rPr>
          <w:rFonts w:ascii="Arial" w:hAnsi="Arial" w:cs="Arial"/>
          <w:sz w:val="20"/>
          <w:szCs w:val="20"/>
        </w:rPr>
        <w:t xml:space="preserve">твержденными постановлением Правительства Российской Федерации от 30 ноября 2021 г.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</w:t>
      </w:r>
      <w:r>
        <w:rPr>
          <w:rFonts w:ascii="Arial" w:hAnsi="Arial" w:cs="Arial"/>
          <w:sz w:val="20"/>
          <w:szCs w:val="20"/>
        </w:rPr>
        <w:t xml:space="preserve">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</w:t>
      </w:r>
      <w:r>
        <w:rPr>
          <w:rFonts w:ascii="Arial" w:hAnsi="Arial" w:cs="Arial"/>
          <w:sz w:val="20"/>
          <w:szCs w:val="20"/>
        </w:rPr>
        <w:t xml:space="preserve">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(далее - Правила подключения (технологического присоединения), к системам теплоснабжения).</w:t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</w:t>
      </w:r>
      <w:r>
        <w:rPr>
          <w:rFonts w:ascii="Arial" w:hAnsi="Arial" w:cs="Arial"/>
          <w:sz w:val="20"/>
          <w:szCs w:val="20"/>
        </w:rPr>
        <w:t xml:space="preserve">пп</w:t>
      </w:r>
      <w:r>
        <w:rPr>
          <w:rFonts w:ascii="Arial" w:hAnsi="Arial" w:cs="Arial"/>
          <w:sz w:val="20"/>
          <w:szCs w:val="20"/>
        </w:rPr>
        <w:t xml:space="preserve">. "к" в ред. </w:t>
      </w:r>
      <w:hyperlink r:id="rId22" w:tooltip="https://login.consultant.ru/link/?req=doc&amp;base=RZR&amp;n=488377&amp;dst=100154" w:history="1">
        <w:r>
          <w:rPr>
            <w:rFonts w:ascii="Arial" w:hAnsi="Arial" w:cs="Arial"/>
            <w:color w:val="0000ff"/>
            <w:sz w:val="20"/>
            <w:szCs w:val="20"/>
          </w:rPr>
          <w:t xml:space="preserve"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17.10.2024 N 1388)</w:t>
      </w:r>
      <w:r>
        <w:rPr>
          <w:rFonts w:ascii="Arial" w:hAnsi="Arial" w:cs="Arial"/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ZR&amp;n=402220&amp;dst=100087" TargetMode="External"/><Relationship Id="rId9" Type="http://schemas.openxmlformats.org/officeDocument/2006/relationships/hyperlink" Target="https://login.consultant.ru/link/?req=doc&amp;base=RZR&amp;n=488463&amp;dst=100069" TargetMode="External"/><Relationship Id="rId10" Type="http://schemas.openxmlformats.org/officeDocument/2006/relationships/hyperlink" Target="https://login.consultant.ru/link/?req=doc&amp;base=RZR&amp;n=479724&amp;dst=100681" TargetMode="External"/><Relationship Id="rId11" Type="http://schemas.openxmlformats.org/officeDocument/2006/relationships/hyperlink" Target="https://login.consultant.ru/link/?req=doc&amp;base=RZR&amp;n=488463&amp;dst=100071" TargetMode="External"/><Relationship Id="rId12" Type="http://schemas.openxmlformats.org/officeDocument/2006/relationships/hyperlink" Target="https://login.consultant.ru/link/?req=doc&amp;base=RZR&amp;n=488463&amp;dst=100112" TargetMode="External"/><Relationship Id="rId13" Type="http://schemas.openxmlformats.org/officeDocument/2006/relationships/hyperlink" Target="https://login.consultant.ru/link/?req=doc&amp;base=RZR&amp;n=488463&amp;dst=100115" TargetMode="External"/><Relationship Id="rId14" Type="http://schemas.openxmlformats.org/officeDocument/2006/relationships/hyperlink" Target="https://login.consultant.ru/link/?req=doc&amp;base=RZR&amp;n=488463&amp;dst=100425" TargetMode="External"/><Relationship Id="rId15" Type="http://schemas.openxmlformats.org/officeDocument/2006/relationships/hyperlink" Target="https://login.consultant.ru/link/?req=doc&amp;base=RZR&amp;n=488455&amp;dst=100012" TargetMode="External"/><Relationship Id="rId16" Type="http://schemas.openxmlformats.org/officeDocument/2006/relationships/hyperlink" Target="https://login.consultant.ru/link/?req=doc&amp;base=RZR&amp;n=488377&amp;dst=100150" TargetMode="External"/><Relationship Id="rId17" Type="http://schemas.openxmlformats.org/officeDocument/2006/relationships/hyperlink" Target="https://login.consultant.ru/link/?req=doc&amp;base=RZR&amp;n=488377&amp;dst=100152" TargetMode="External"/><Relationship Id="rId18" Type="http://schemas.openxmlformats.org/officeDocument/2006/relationships/hyperlink" Target="https://login.consultant.ru/link/?req=doc&amp;base=RZR&amp;n=446259&amp;dst=100050" TargetMode="External"/><Relationship Id="rId19" Type="http://schemas.openxmlformats.org/officeDocument/2006/relationships/hyperlink" Target="https://login.consultant.ru/link/?req=doc&amp;base=RZR&amp;n=401404&amp;dst=100010" TargetMode="External"/><Relationship Id="rId20" Type="http://schemas.openxmlformats.org/officeDocument/2006/relationships/hyperlink" Target="https://login.consultant.ru/link/?req=doc&amp;base=RZR&amp;n=479724&amp;dst=100714" TargetMode="External"/><Relationship Id="rId21" Type="http://schemas.openxmlformats.org/officeDocument/2006/relationships/hyperlink" Target="https://login.consultant.ru/link/?req=doc&amp;base=RZR&amp;n=488462&amp;dst=100017" TargetMode="External"/><Relationship Id="rId22" Type="http://schemas.openxmlformats.org/officeDocument/2006/relationships/hyperlink" Target="https://login.consultant.ru/link/?req=doc&amp;base=RZR&amp;n=488377&amp;dst=1001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Атаманчук Оксана Михайловна</dc:creator>
  <cp:keywords/>
  <dc:description/>
  <cp:lastModifiedBy>raeckayaas@ker-holding.ru</cp:lastModifiedBy>
  <cp:revision>2</cp:revision>
  <dcterms:created xsi:type="dcterms:W3CDTF">2025-01-24T07:40:00Z</dcterms:created>
  <dcterms:modified xsi:type="dcterms:W3CDTF">2025-01-24T11:20:34Z</dcterms:modified>
</cp:coreProperties>
</file>